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9A10F" w14:textId="4F3B3D9D" w:rsidR="0022219E" w:rsidRPr="0022219E" w:rsidRDefault="0022219E" w:rsidP="0022219E">
      <w:pPr>
        <w:spacing w:line="360" w:lineRule="auto"/>
        <w:rPr>
          <w:rFonts w:ascii="Arial" w:hAnsi="Arial" w:cs="Arial"/>
          <w:sz w:val="24"/>
          <w:szCs w:val="24"/>
        </w:rPr>
      </w:pPr>
      <w:r>
        <w:rPr>
          <w:rFonts w:ascii="Arial" w:hAnsi="Arial" w:cs="Arial"/>
          <w:sz w:val="24"/>
          <w:szCs w:val="24"/>
        </w:rPr>
        <w:t>Ministerstvo práce a sociálních věcí</w:t>
      </w:r>
    </w:p>
    <w:p w14:paraId="70D64597" w14:textId="63CD6647" w:rsidR="00AE3B30" w:rsidRPr="009160E1" w:rsidRDefault="0022219E" w:rsidP="009160E1">
      <w:pPr>
        <w:spacing w:line="360" w:lineRule="auto"/>
        <w:jc w:val="center"/>
        <w:rPr>
          <w:rFonts w:ascii="Arial" w:hAnsi="Arial" w:cs="Arial"/>
          <w:b/>
          <w:bCs/>
          <w:sz w:val="24"/>
          <w:szCs w:val="24"/>
        </w:rPr>
      </w:pPr>
      <w:r w:rsidRPr="0022219E">
        <w:rPr>
          <w:rFonts w:ascii="Arial" w:hAnsi="Arial" w:cs="Arial"/>
          <w:b/>
          <w:bCs/>
          <w:sz w:val="24"/>
          <w:szCs w:val="24"/>
        </w:rPr>
        <w:t xml:space="preserve">Stanovisko </w:t>
      </w:r>
      <w:r w:rsidR="00E650A5" w:rsidRPr="0022219E">
        <w:rPr>
          <w:rFonts w:ascii="Arial" w:hAnsi="Arial" w:cs="Arial"/>
          <w:b/>
          <w:bCs/>
          <w:sz w:val="24"/>
          <w:szCs w:val="24"/>
        </w:rPr>
        <w:t>k</w:t>
      </w:r>
      <w:r w:rsidR="00AE3B30">
        <w:rPr>
          <w:rFonts w:ascii="Arial" w:hAnsi="Arial" w:cs="Arial"/>
          <w:b/>
          <w:bCs/>
          <w:sz w:val="24"/>
          <w:szCs w:val="24"/>
        </w:rPr>
        <w:t> </w:t>
      </w:r>
      <w:r w:rsidR="00E34493">
        <w:rPr>
          <w:rFonts w:ascii="Arial" w:hAnsi="Arial" w:cs="Arial"/>
          <w:b/>
          <w:bCs/>
          <w:sz w:val="24"/>
          <w:szCs w:val="24"/>
        </w:rPr>
        <w:t>problematice</w:t>
      </w:r>
      <w:r w:rsidR="00AE3B30">
        <w:rPr>
          <w:rFonts w:ascii="Arial" w:hAnsi="Arial" w:cs="Arial"/>
          <w:b/>
          <w:bCs/>
          <w:sz w:val="24"/>
          <w:szCs w:val="24"/>
        </w:rPr>
        <w:t xml:space="preserve"> institutu pohotovosti na pracovišti v </w:t>
      </w:r>
      <w:r>
        <w:rPr>
          <w:rFonts w:ascii="Arial" w:hAnsi="Arial" w:cs="Arial"/>
          <w:b/>
          <w:bCs/>
          <w:sz w:val="24"/>
          <w:szCs w:val="24"/>
        </w:rPr>
        <w:t>č</w:t>
      </w:r>
      <w:r w:rsidR="00AE3B30">
        <w:rPr>
          <w:rFonts w:ascii="Arial" w:hAnsi="Arial" w:cs="Arial"/>
          <w:b/>
          <w:bCs/>
          <w:sz w:val="24"/>
          <w:szCs w:val="24"/>
        </w:rPr>
        <w:t>eském právním řádu a analýza související judikatury SD EU</w:t>
      </w:r>
      <w:r w:rsidR="00E34493">
        <w:rPr>
          <w:rFonts w:ascii="Arial" w:hAnsi="Arial" w:cs="Arial"/>
          <w:b/>
          <w:bCs/>
          <w:sz w:val="24"/>
          <w:szCs w:val="24"/>
        </w:rPr>
        <w:t xml:space="preserve"> </w:t>
      </w:r>
    </w:p>
    <w:p w14:paraId="021FBD23" w14:textId="77777777" w:rsidR="00AE3B30" w:rsidRDefault="00AE3B30" w:rsidP="00E34493">
      <w:pPr>
        <w:jc w:val="both"/>
        <w:rPr>
          <w:rFonts w:ascii="Arial" w:hAnsi="Arial" w:cs="Arial"/>
        </w:rPr>
      </w:pPr>
    </w:p>
    <w:p w14:paraId="6797929A" w14:textId="181B9F5A" w:rsidR="008F11CB" w:rsidRDefault="00EE2010" w:rsidP="00E34493">
      <w:pPr>
        <w:jc w:val="both"/>
        <w:rPr>
          <w:rFonts w:ascii="Arial" w:hAnsi="Arial" w:cs="Arial"/>
        </w:rPr>
      </w:pPr>
      <w:r>
        <w:rPr>
          <w:rFonts w:ascii="Arial" w:hAnsi="Arial" w:cs="Arial"/>
        </w:rPr>
        <w:t>P</w:t>
      </w:r>
      <w:r w:rsidR="008F11CB">
        <w:rPr>
          <w:rFonts w:ascii="Arial" w:hAnsi="Arial" w:cs="Arial"/>
        </w:rPr>
        <w:t xml:space="preserve">osouzení toho, zda lze dobu, v níž zaměstnanec nevykonává práci, avšak musí být dostupný pro případ, kdy bude k výkonu práce povolán se ve vztahu ke směrnici </w:t>
      </w:r>
      <w:r w:rsidR="00C5310A">
        <w:rPr>
          <w:rFonts w:ascii="Arial" w:hAnsi="Arial" w:cs="Arial"/>
        </w:rPr>
        <w:t xml:space="preserve">č. </w:t>
      </w:r>
      <w:r w:rsidR="008F11CB" w:rsidRPr="008F11CB">
        <w:rPr>
          <w:rFonts w:ascii="Arial" w:hAnsi="Arial" w:cs="Arial"/>
        </w:rPr>
        <w:t>2003/88/ES</w:t>
      </w:r>
      <w:r w:rsidR="00C5310A">
        <w:rPr>
          <w:rFonts w:ascii="Arial" w:hAnsi="Arial" w:cs="Arial"/>
        </w:rPr>
        <w:t xml:space="preserve"> </w:t>
      </w:r>
      <w:r w:rsidR="00C5310A" w:rsidRPr="00C5310A">
        <w:rPr>
          <w:rFonts w:ascii="Arial" w:hAnsi="Arial" w:cs="Arial"/>
        </w:rPr>
        <w:t>o některých aspektech úpravy pracovní doby</w:t>
      </w:r>
      <w:r w:rsidR="00C5310A">
        <w:rPr>
          <w:rFonts w:ascii="Arial" w:hAnsi="Arial" w:cs="Arial"/>
        </w:rPr>
        <w:t xml:space="preserve"> (dále jen WTD)</w:t>
      </w:r>
      <w:r w:rsidR="008F11CB">
        <w:rPr>
          <w:rFonts w:ascii="Arial" w:hAnsi="Arial" w:cs="Arial"/>
        </w:rPr>
        <w:t xml:space="preserve"> </w:t>
      </w:r>
      <w:r w:rsidR="00C5310A">
        <w:rPr>
          <w:rFonts w:ascii="Arial" w:hAnsi="Arial" w:cs="Arial"/>
        </w:rPr>
        <w:t>intenzivně</w:t>
      </w:r>
      <w:r w:rsidR="008F11CB">
        <w:rPr>
          <w:rFonts w:ascii="Arial" w:hAnsi="Arial" w:cs="Arial"/>
        </w:rPr>
        <w:t xml:space="preserve"> věnuje Soudní dvůr EU, z jehož ustálené judikatury vyplývají následující závěry:</w:t>
      </w:r>
    </w:p>
    <w:p w14:paraId="7A1A2A31" w14:textId="30EC3992" w:rsidR="008F11CB" w:rsidRPr="008F11CB" w:rsidRDefault="008F11CB" w:rsidP="008F11CB">
      <w:pPr>
        <w:pStyle w:val="Odstavecseseznamem"/>
        <w:numPr>
          <w:ilvl w:val="0"/>
          <w:numId w:val="9"/>
        </w:numPr>
        <w:ind w:left="284" w:hanging="284"/>
        <w:jc w:val="both"/>
        <w:rPr>
          <w:rFonts w:ascii="Arial" w:hAnsi="Arial" w:cs="Arial"/>
          <w:i/>
          <w:iCs/>
        </w:rPr>
      </w:pPr>
      <w:r w:rsidRPr="008F11CB">
        <w:rPr>
          <w:rFonts w:ascii="Arial" w:hAnsi="Arial" w:cs="Arial"/>
          <w:i/>
          <w:iCs/>
        </w:rPr>
        <w:t>Dobu strávenou „pracovní pohotovostí“ je nutno jako celek považovat za „pracovní dobu“ ve smyslu směrnice, pokud musí být pracovník přítomen na pracovišti odděleném od jeho bydliště.</w:t>
      </w:r>
    </w:p>
    <w:p w14:paraId="58142881" w14:textId="77777777" w:rsidR="008F11CB" w:rsidRDefault="008F11CB" w:rsidP="008F11CB">
      <w:pPr>
        <w:pStyle w:val="Odstavecseseznamem"/>
        <w:ind w:left="284"/>
        <w:jc w:val="both"/>
        <w:rPr>
          <w:rFonts w:ascii="Arial" w:hAnsi="Arial" w:cs="Arial"/>
        </w:rPr>
      </w:pPr>
    </w:p>
    <w:p w14:paraId="1FD0F480" w14:textId="0F508400" w:rsidR="008F11CB" w:rsidRDefault="008F11CB" w:rsidP="008F11CB">
      <w:pPr>
        <w:pStyle w:val="Odstavecseseznamem"/>
        <w:ind w:left="284"/>
        <w:jc w:val="both"/>
        <w:rPr>
          <w:rFonts w:ascii="Arial" w:hAnsi="Arial" w:cs="Arial"/>
        </w:rPr>
      </w:pPr>
      <w:r w:rsidRPr="00E34493">
        <w:rPr>
          <w:rFonts w:ascii="Arial" w:hAnsi="Arial" w:cs="Arial"/>
        </w:rPr>
        <w:t xml:space="preserve">Rozsudek ve věci C-303/98, </w:t>
      </w:r>
      <w:proofErr w:type="spellStart"/>
      <w:r w:rsidRPr="00E34493">
        <w:rPr>
          <w:rFonts w:ascii="Arial" w:hAnsi="Arial" w:cs="Arial"/>
        </w:rPr>
        <w:t>Simap</w:t>
      </w:r>
      <w:proofErr w:type="spellEnd"/>
      <w:r w:rsidRPr="00E34493">
        <w:rPr>
          <w:rFonts w:ascii="Arial" w:hAnsi="Arial" w:cs="Arial"/>
        </w:rPr>
        <w:t xml:space="preserve">, bod 48; rozsudek ve věci C-151/02, </w:t>
      </w:r>
      <w:proofErr w:type="spellStart"/>
      <w:r w:rsidRPr="00E34493">
        <w:rPr>
          <w:rFonts w:ascii="Arial" w:hAnsi="Arial" w:cs="Arial"/>
        </w:rPr>
        <w:t>Jaeger</w:t>
      </w:r>
      <w:proofErr w:type="spellEnd"/>
      <w:r w:rsidRPr="00E34493">
        <w:rPr>
          <w:rFonts w:ascii="Arial" w:hAnsi="Arial" w:cs="Arial"/>
        </w:rPr>
        <w:t xml:space="preserve">, bod 63; rozsudek ve věci C-14/04, </w:t>
      </w:r>
      <w:proofErr w:type="spellStart"/>
      <w:r w:rsidRPr="00E34493">
        <w:rPr>
          <w:rFonts w:ascii="Arial" w:hAnsi="Arial" w:cs="Arial"/>
        </w:rPr>
        <w:t>Dellas</w:t>
      </w:r>
      <w:proofErr w:type="spellEnd"/>
      <w:r w:rsidRPr="00E34493">
        <w:rPr>
          <w:rFonts w:ascii="Arial" w:hAnsi="Arial" w:cs="Arial"/>
        </w:rPr>
        <w:t xml:space="preserve"> a další, bod 48; rozsudek ve věci C-344/19, </w:t>
      </w:r>
      <w:proofErr w:type="spellStart"/>
      <w:r w:rsidRPr="00E34493">
        <w:rPr>
          <w:rFonts w:ascii="Arial" w:hAnsi="Arial" w:cs="Arial"/>
        </w:rPr>
        <w:t>Radiotelevizija</w:t>
      </w:r>
      <w:proofErr w:type="spellEnd"/>
      <w:r w:rsidRPr="00E34493">
        <w:rPr>
          <w:rFonts w:ascii="Arial" w:hAnsi="Arial" w:cs="Arial"/>
        </w:rPr>
        <w:t xml:space="preserve"> </w:t>
      </w:r>
      <w:proofErr w:type="spellStart"/>
      <w:r w:rsidRPr="00E34493">
        <w:rPr>
          <w:rFonts w:ascii="Arial" w:hAnsi="Arial" w:cs="Arial"/>
        </w:rPr>
        <w:t>Slovenija</w:t>
      </w:r>
      <w:proofErr w:type="spellEnd"/>
      <w:r w:rsidRPr="00E34493">
        <w:rPr>
          <w:rFonts w:ascii="Arial" w:hAnsi="Arial" w:cs="Arial"/>
        </w:rPr>
        <w:t xml:space="preserve">, bod 33; rozsudek ve věci C-580/19, </w:t>
      </w:r>
      <w:proofErr w:type="spellStart"/>
      <w:r w:rsidRPr="00E34493">
        <w:rPr>
          <w:rFonts w:ascii="Arial" w:hAnsi="Arial" w:cs="Arial"/>
        </w:rPr>
        <w:t>Stadt</w:t>
      </w:r>
      <w:proofErr w:type="spellEnd"/>
      <w:r w:rsidRPr="00E34493">
        <w:rPr>
          <w:rFonts w:ascii="Arial" w:hAnsi="Arial" w:cs="Arial"/>
        </w:rPr>
        <w:t xml:space="preserve"> </w:t>
      </w:r>
      <w:proofErr w:type="spellStart"/>
      <w:r w:rsidRPr="00E34493">
        <w:rPr>
          <w:rFonts w:ascii="Arial" w:hAnsi="Arial" w:cs="Arial"/>
        </w:rPr>
        <w:t>Offenbach</w:t>
      </w:r>
      <w:proofErr w:type="spellEnd"/>
      <w:r w:rsidRPr="00E34493">
        <w:rPr>
          <w:rFonts w:ascii="Arial" w:hAnsi="Arial" w:cs="Arial"/>
        </w:rPr>
        <w:t xml:space="preserve"> </w:t>
      </w:r>
      <w:proofErr w:type="spellStart"/>
      <w:r w:rsidRPr="00E34493">
        <w:rPr>
          <w:rFonts w:ascii="Arial" w:hAnsi="Arial" w:cs="Arial"/>
        </w:rPr>
        <w:t>am</w:t>
      </w:r>
      <w:proofErr w:type="spellEnd"/>
      <w:r w:rsidRPr="00E34493">
        <w:rPr>
          <w:rFonts w:ascii="Arial" w:hAnsi="Arial" w:cs="Arial"/>
        </w:rPr>
        <w:t xml:space="preserve"> </w:t>
      </w:r>
      <w:proofErr w:type="spellStart"/>
      <w:r w:rsidRPr="00E34493">
        <w:rPr>
          <w:rFonts w:ascii="Arial" w:hAnsi="Arial" w:cs="Arial"/>
        </w:rPr>
        <w:t>Main</w:t>
      </w:r>
      <w:proofErr w:type="spellEnd"/>
      <w:r w:rsidRPr="00E34493">
        <w:rPr>
          <w:rFonts w:ascii="Arial" w:hAnsi="Arial" w:cs="Arial"/>
        </w:rPr>
        <w:t>, bod 34; rozsudek ve věci C-107/19, Dopravní podnik hl. m. Prahy, bod 31</w:t>
      </w:r>
    </w:p>
    <w:p w14:paraId="01993D5C" w14:textId="77777777" w:rsidR="008F11CB" w:rsidRDefault="008F11CB" w:rsidP="008F11CB">
      <w:pPr>
        <w:pStyle w:val="Odstavecseseznamem"/>
        <w:ind w:left="284"/>
        <w:jc w:val="both"/>
        <w:rPr>
          <w:rFonts w:ascii="Arial" w:hAnsi="Arial" w:cs="Arial"/>
        </w:rPr>
      </w:pPr>
    </w:p>
    <w:p w14:paraId="742CA576" w14:textId="2680C98D" w:rsidR="008F11CB" w:rsidRDefault="00C5310A" w:rsidP="008F11CB">
      <w:pPr>
        <w:pStyle w:val="Odstavecseseznamem"/>
        <w:numPr>
          <w:ilvl w:val="0"/>
          <w:numId w:val="9"/>
        </w:numPr>
        <w:ind w:left="284" w:hanging="284"/>
        <w:jc w:val="both"/>
        <w:rPr>
          <w:rFonts w:ascii="Arial" w:hAnsi="Arial" w:cs="Arial"/>
        </w:rPr>
      </w:pPr>
      <w:r w:rsidRPr="00C5310A">
        <w:rPr>
          <w:rFonts w:ascii="Arial" w:hAnsi="Arial" w:cs="Arial"/>
          <w:i/>
          <w:iCs/>
        </w:rPr>
        <w:t>Celá doba „pohotovosti na telefonu“, kdy musí být pracovník neustále dosažitelný, ale nemusí se nacházet na místě určeném zaměstnavatelem, se považuje za „pracovní dobu“, pokud mají omezení uložená zaměstnavatelem během doby „pohotovosti na telefonu“ objektivní a velmi významný dopad na možnost pracovníka volně nakládat s časem, během něhož nejsou jeho služby vyžadovány, a tedy na možnost věnovat se v této době svým osobním a společenským zájmům</w:t>
      </w:r>
      <w:r>
        <w:rPr>
          <w:rFonts w:ascii="Arial" w:hAnsi="Arial" w:cs="Arial"/>
        </w:rPr>
        <w:t>.</w:t>
      </w:r>
    </w:p>
    <w:p w14:paraId="457776A7" w14:textId="400B341F" w:rsidR="00C5310A" w:rsidRDefault="00C5310A" w:rsidP="00C5310A">
      <w:pPr>
        <w:pStyle w:val="Odstavecseseznamem"/>
        <w:ind w:left="284"/>
        <w:jc w:val="both"/>
        <w:rPr>
          <w:rFonts w:ascii="Arial" w:hAnsi="Arial" w:cs="Arial"/>
          <w:i/>
          <w:iCs/>
        </w:rPr>
      </w:pPr>
    </w:p>
    <w:p w14:paraId="6375AE1E" w14:textId="7E46D5C8" w:rsidR="00C5310A" w:rsidRPr="00C5310A" w:rsidRDefault="00C5310A" w:rsidP="00C5310A">
      <w:pPr>
        <w:pStyle w:val="Odstavecseseznamem"/>
        <w:ind w:left="284"/>
        <w:jc w:val="both"/>
        <w:rPr>
          <w:rFonts w:ascii="Arial" w:hAnsi="Arial" w:cs="Arial"/>
        </w:rPr>
      </w:pPr>
      <w:r w:rsidRPr="00E34493">
        <w:rPr>
          <w:rFonts w:ascii="Arial" w:hAnsi="Arial" w:cs="Arial"/>
        </w:rPr>
        <w:t xml:space="preserve">Rozsudek ve věci C-518/15, </w:t>
      </w:r>
      <w:proofErr w:type="spellStart"/>
      <w:r w:rsidRPr="00E34493">
        <w:rPr>
          <w:rFonts w:ascii="Arial" w:hAnsi="Arial" w:cs="Arial"/>
        </w:rPr>
        <w:t>Matzak</w:t>
      </w:r>
      <w:proofErr w:type="spellEnd"/>
      <w:r w:rsidRPr="00E34493">
        <w:rPr>
          <w:rFonts w:ascii="Arial" w:hAnsi="Arial" w:cs="Arial"/>
        </w:rPr>
        <w:t xml:space="preserve">, body 63–66; rozsudek ve věci C-344/19, </w:t>
      </w:r>
      <w:proofErr w:type="spellStart"/>
      <w:r w:rsidRPr="00E34493">
        <w:rPr>
          <w:rFonts w:ascii="Arial" w:hAnsi="Arial" w:cs="Arial"/>
        </w:rPr>
        <w:t>Radiotelevizija</w:t>
      </w:r>
      <w:proofErr w:type="spellEnd"/>
      <w:r w:rsidRPr="00E34493">
        <w:rPr>
          <w:rFonts w:ascii="Arial" w:hAnsi="Arial" w:cs="Arial"/>
        </w:rPr>
        <w:t xml:space="preserve"> </w:t>
      </w:r>
      <w:proofErr w:type="spellStart"/>
      <w:r w:rsidRPr="00E34493">
        <w:rPr>
          <w:rFonts w:ascii="Arial" w:hAnsi="Arial" w:cs="Arial"/>
        </w:rPr>
        <w:t>Slovenija</w:t>
      </w:r>
      <w:proofErr w:type="spellEnd"/>
      <w:r w:rsidRPr="00E34493">
        <w:rPr>
          <w:rFonts w:ascii="Arial" w:hAnsi="Arial" w:cs="Arial"/>
        </w:rPr>
        <w:t xml:space="preserve">, body 36–37; rozsudek ve věci C-580/19, </w:t>
      </w:r>
      <w:proofErr w:type="spellStart"/>
      <w:r w:rsidRPr="00E34493">
        <w:rPr>
          <w:rFonts w:ascii="Arial" w:hAnsi="Arial" w:cs="Arial"/>
        </w:rPr>
        <w:t>Stadt</w:t>
      </w:r>
      <w:proofErr w:type="spellEnd"/>
      <w:r w:rsidRPr="00E34493">
        <w:rPr>
          <w:rFonts w:ascii="Arial" w:hAnsi="Arial" w:cs="Arial"/>
        </w:rPr>
        <w:t xml:space="preserve"> </w:t>
      </w:r>
      <w:proofErr w:type="spellStart"/>
      <w:r w:rsidRPr="00E34493">
        <w:rPr>
          <w:rFonts w:ascii="Arial" w:hAnsi="Arial" w:cs="Arial"/>
        </w:rPr>
        <w:t>Offenbach</w:t>
      </w:r>
      <w:proofErr w:type="spellEnd"/>
      <w:r w:rsidRPr="00E34493">
        <w:rPr>
          <w:rFonts w:ascii="Arial" w:hAnsi="Arial" w:cs="Arial"/>
        </w:rPr>
        <w:t xml:space="preserve"> </w:t>
      </w:r>
      <w:proofErr w:type="spellStart"/>
      <w:r w:rsidRPr="00E34493">
        <w:rPr>
          <w:rFonts w:ascii="Arial" w:hAnsi="Arial" w:cs="Arial"/>
        </w:rPr>
        <w:t>am</w:t>
      </w:r>
      <w:proofErr w:type="spellEnd"/>
      <w:r w:rsidRPr="00E34493">
        <w:rPr>
          <w:rFonts w:ascii="Arial" w:hAnsi="Arial" w:cs="Arial"/>
        </w:rPr>
        <w:t xml:space="preserve"> </w:t>
      </w:r>
      <w:proofErr w:type="spellStart"/>
      <w:r w:rsidRPr="00E34493">
        <w:rPr>
          <w:rFonts w:ascii="Arial" w:hAnsi="Arial" w:cs="Arial"/>
        </w:rPr>
        <w:t>Main</w:t>
      </w:r>
      <w:proofErr w:type="spellEnd"/>
      <w:r w:rsidRPr="00E34493">
        <w:rPr>
          <w:rFonts w:ascii="Arial" w:hAnsi="Arial" w:cs="Arial"/>
        </w:rPr>
        <w:t xml:space="preserve">, body 37–38; rozsudek ve věci C-107/19, Dopravní podnik hl. m. Prahy, body 33–34; rozsudek ve věci C-214/20, Dublin City </w:t>
      </w:r>
      <w:proofErr w:type="spellStart"/>
      <w:r w:rsidRPr="00E34493">
        <w:rPr>
          <w:rFonts w:ascii="Arial" w:hAnsi="Arial" w:cs="Arial"/>
        </w:rPr>
        <w:t>Council</w:t>
      </w:r>
      <w:proofErr w:type="spellEnd"/>
      <w:r w:rsidRPr="00E34493">
        <w:rPr>
          <w:rFonts w:ascii="Arial" w:hAnsi="Arial" w:cs="Arial"/>
        </w:rPr>
        <w:t>, bod 38</w:t>
      </w:r>
    </w:p>
    <w:p w14:paraId="4E507B1B" w14:textId="77777777" w:rsidR="00C5310A" w:rsidRPr="00C5310A" w:rsidRDefault="00C5310A" w:rsidP="00C5310A">
      <w:pPr>
        <w:pStyle w:val="Odstavecseseznamem"/>
        <w:ind w:left="284"/>
        <w:jc w:val="both"/>
        <w:rPr>
          <w:rFonts w:ascii="Arial" w:hAnsi="Arial" w:cs="Arial"/>
        </w:rPr>
      </w:pPr>
    </w:p>
    <w:p w14:paraId="76810BD4" w14:textId="1C88CA72" w:rsidR="00C5310A" w:rsidRDefault="00C5310A" w:rsidP="008F11CB">
      <w:pPr>
        <w:pStyle w:val="Odstavecseseznamem"/>
        <w:numPr>
          <w:ilvl w:val="0"/>
          <w:numId w:val="9"/>
        </w:numPr>
        <w:ind w:left="284" w:hanging="284"/>
        <w:jc w:val="both"/>
        <w:rPr>
          <w:rFonts w:ascii="Arial" w:hAnsi="Arial" w:cs="Arial"/>
          <w:i/>
          <w:iCs/>
        </w:rPr>
      </w:pPr>
      <w:r w:rsidRPr="00C5310A">
        <w:rPr>
          <w:rFonts w:ascii="Arial" w:hAnsi="Arial" w:cs="Arial"/>
          <w:i/>
          <w:iCs/>
        </w:rPr>
        <w:t>Naopak v případech, kdy tato omezení nemají takový vliv na možnost pracovníka věnovat se vlastním zájmům, je třeba za „pracovní dobu“ považovat pouze dobu skutečného poskytování služeb</w:t>
      </w:r>
      <w:r>
        <w:rPr>
          <w:rFonts w:ascii="Arial" w:hAnsi="Arial" w:cs="Arial"/>
          <w:i/>
          <w:iCs/>
        </w:rPr>
        <w:t>.</w:t>
      </w:r>
    </w:p>
    <w:p w14:paraId="33044DAB" w14:textId="77777777" w:rsidR="00C5310A" w:rsidRDefault="00C5310A" w:rsidP="00C5310A">
      <w:pPr>
        <w:pStyle w:val="Odstavecseseznamem"/>
        <w:ind w:left="284"/>
        <w:jc w:val="both"/>
        <w:rPr>
          <w:rFonts w:ascii="Arial" w:hAnsi="Arial" w:cs="Arial"/>
          <w:i/>
          <w:iCs/>
        </w:rPr>
      </w:pPr>
    </w:p>
    <w:p w14:paraId="0863A2D1" w14:textId="64331B1F" w:rsidR="00E34493" w:rsidRPr="00E34493" w:rsidRDefault="00C5310A" w:rsidP="00C5310A">
      <w:pPr>
        <w:pStyle w:val="Odstavecseseznamem"/>
        <w:ind w:left="284"/>
        <w:jc w:val="both"/>
        <w:rPr>
          <w:rFonts w:ascii="Arial" w:hAnsi="Arial" w:cs="Arial"/>
        </w:rPr>
      </w:pPr>
      <w:r w:rsidRPr="00E34493">
        <w:rPr>
          <w:rFonts w:ascii="Arial" w:hAnsi="Arial" w:cs="Arial"/>
        </w:rPr>
        <w:t xml:space="preserve">Rozsudek ve věci C-518/15, </w:t>
      </w:r>
      <w:proofErr w:type="spellStart"/>
      <w:r w:rsidRPr="00E34493">
        <w:rPr>
          <w:rFonts w:ascii="Arial" w:hAnsi="Arial" w:cs="Arial"/>
        </w:rPr>
        <w:t>Matzak</w:t>
      </w:r>
      <w:proofErr w:type="spellEnd"/>
      <w:r w:rsidRPr="00E34493">
        <w:rPr>
          <w:rFonts w:ascii="Arial" w:hAnsi="Arial" w:cs="Arial"/>
        </w:rPr>
        <w:t xml:space="preserve">, body 63–66; rozsudek ve věci C-344/19, </w:t>
      </w:r>
      <w:proofErr w:type="spellStart"/>
      <w:r w:rsidRPr="00E34493">
        <w:rPr>
          <w:rFonts w:ascii="Arial" w:hAnsi="Arial" w:cs="Arial"/>
        </w:rPr>
        <w:t>Radiotelevizija</w:t>
      </w:r>
      <w:proofErr w:type="spellEnd"/>
      <w:r w:rsidRPr="00E34493">
        <w:rPr>
          <w:rFonts w:ascii="Arial" w:hAnsi="Arial" w:cs="Arial"/>
        </w:rPr>
        <w:t xml:space="preserve"> </w:t>
      </w:r>
      <w:proofErr w:type="spellStart"/>
      <w:r w:rsidRPr="00E34493">
        <w:rPr>
          <w:rFonts w:ascii="Arial" w:hAnsi="Arial" w:cs="Arial"/>
        </w:rPr>
        <w:t>Slovenija</w:t>
      </w:r>
      <w:proofErr w:type="spellEnd"/>
      <w:r w:rsidRPr="00E34493">
        <w:rPr>
          <w:rFonts w:ascii="Arial" w:hAnsi="Arial" w:cs="Arial"/>
        </w:rPr>
        <w:t xml:space="preserve">, body 36–37; rozsudek ve věci C-580/19, </w:t>
      </w:r>
      <w:proofErr w:type="spellStart"/>
      <w:r w:rsidRPr="00E34493">
        <w:rPr>
          <w:rFonts w:ascii="Arial" w:hAnsi="Arial" w:cs="Arial"/>
        </w:rPr>
        <w:t>Stadt</w:t>
      </w:r>
      <w:proofErr w:type="spellEnd"/>
      <w:r w:rsidRPr="00E34493">
        <w:rPr>
          <w:rFonts w:ascii="Arial" w:hAnsi="Arial" w:cs="Arial"/>
        </w:rPr>
        <w:t xml:space="preserve"> </w:t>
      </w:r>
      <w:proofErr w:type="spellStart"/>
      <w:r w:rsidRPr="00E34493">
        <w:rPr>
          <w:rFonts w:ascii="Arial" w:hAnsi="Arial" w:cs="Arial"/>
        </w:rPr>
        <w:t>Offenbach</w:t>
      </w:r>
      <w:proofErr w:type="spellEnd"/>
      <w:r w:rsidRPr="00E34493">
        <w:rPr>
          <w:rFonts w:ascii="Arial" w:hAnsi="Arial" w:cs="Arial"/>
        </w:rPr>
        <w:t xml:space="preserve"> </w:t>
      </w:r>
      <w:proofErr w:type="spellStart"/>
      <w:r w:rsidRPr="00E34493">
        <w:rPr>
          <w:rFonts w:ascii="Arial" w:hAnsi="Arial" w:cs="Arial"/>
        </w:rPr>
        <w:t>am</w:t>
      </w:r>
      <w:proofErr w:type="spellEnd"/>
      <w:r w:rsidRPr="00E34493">
        <w:rPr>
          <w:rFonts w:ascii="Arial" w:hAnsi="Arial" w:cs="Arial"/>
        </w:rPr>
        <w:t xml:space="preserve"> </w:t>
      </w:r>
      <w:proofErr w:type="spellStart"/>
      <w:r w:rsidRPr="00E34493">
        <w:rPr>
          <w:rFonts w:ascii="Arial" w:hAnsi="Arial" w:cs="Arial"/>
        </w:rPr>
        <w:t>Main</w:t>
      </w:r>
      <w:proofErr w:type="spellEnd"/>
      <w:r w:rsidRPr="00E34493">
        <w:rPr>
          <w:rFonts w:ascii="Arial" w:hAnsi="Arial" w:cs="Arial"/>
        </w:rPr>
        <w:t xml:space="preserve">, body 37–38; rozsudek ve věci C-107/19, Dopravní podnik hl. m. Prahy, body 33–34; rozsudek ve věci C-214/20, Dublin City </w:t>
      </w:r>
      <w:proofErr w:type="spellStart"/>
      <w:r w:rsidRPr="00E34493">
        <w:rPr>
          <w:rFonts w:ascii="Arial" w:hAnsi="Arial" w:cs="Arial"/>
        </w:rPr>
        <w:t>Council</w:t>
      </w:r>
      <w:proofErr w:type="spellEnd"/>
      <w:r w:rsidRPr="00E34493">
        <w:rPr>
          <w:rFonts w:ascii="Arial" w:hAnsi="Arial" w:cs="Arial"/>
        </w:rPr>
        <w:t>, bod 38.</w:t>
      </w:r>
    </w:p>
    <w:p w14:paraId="7169E026" w14:textId="77777777" w:rsidR="00E34493" w:rsidRPr="00E34493" w:rsidRDefault="00E34493" w:rsidP="00E34493">
      <w:pPr>
        <w:pStyle w:val="Default"/>
        <w:jc w:val="both"/>
        <w:rPr>
          <w:sz w:val="22"/>
          <w:szCs w:val="22"/>
        </w:rPr>
      </w:pPr>
    </w:p>
    <w:p w14:paraId="66503EE0" w14:textId="5788A319" w:rsidR="00E620B8" w:rsidRDefault="00E620B8" w:rsidP="008F11CB">
      <w:pPr>
        <w:pStyle w:val="Default"/>
        <w:jc w:val="both"/>
        <w:rPr>
          <w:sz w:val="22"/>
          <w:szCs w:val="22"/>
        </w:rPr>
      </w:pPr>
      <w:r>
        <w:rPr>
          <w:sz w:val="22"/>
          <w:szCs w:val="22"/>
        </w:rPr>
        <w:t xml:space="preserve">Uvedené závěry byly potvrzeny i v usnesení o předběžné otázce SD </w:t>
      </w:r>
      <w:r w:rsidRPr="00E34493">
        <w:rPr>
          <w:sz w:val="22"/>
          <w:szCs w:val="22"/>
        </w:rPr>
        <w:t>ve věci C-437/05</w:t>
      </w:r>
      <w:r>
        <w:rPr>
          <w:sz w:val="22"/>
          <w:szCs w:val="22"/>
        </w:rPr>
        <w:t xml:space="preserve"> Jan Vorel vs. Nemocnice Český Krumlov, kde je rovněž konstatováno, </w:t>
      </w:r>
      <w:r w:rsidRPr="00E34493">
        <w:rPr>
          <w:sz w:val="22"/>
          <w:szCs w:val="22"/>
        </w:rPr>
        <w:t>že pracovní pohotovost na pracovišti musí být považována za pracovní dobu ve smyslu směrnice o pracovní době</w:t>
      </w:r>
      <w:r>
        <w:rPr>
          <w:sz w:val="22"/>
          <w:szCs w:val="22"/>
        </w:rPr>
        <w:t>.</w:t>
      </w:r>
    </w:p>
    <w:p w14:paraId="04BBFECE" w14:textId="77777777" w:rsidR="00E620B8" w:rsidRDefault="00E620B8" w:rsidP="008F11CB">
      <w:pPr>
        <w:pStyle w:val="Default"/>
        <w:jc w:val="both"/>
        <w:rPr>
          <w:sz w:val="22"/>
          <w:szCs w:val="22"/>
        </w:rPr>
      </w:pPr>
    </w:p>
    <w:p w14:paraId="3203F20A" w14:textId="2988EB6A" w:rsidR="00C5310A" w:rsidRDefault="00C5310A" w:rsidP="008F11CB">
      <w:pPr>
        <w:pStyle w:val="Default"/>
        <w:jc w:val="both"/>
        <w:rPr>
          <w:sz w:val="22"/>
          <w:szCs w:val="22"/>
        </w:rPr>
      </w:pPr>
      <w:r>
        <w:rPr>
          <w:sz w:val="22"/>
          <w:szCs w:val="22"/>
        </w:rPr>
        <w:t>Zejména s ohledem na závěr uvedený pod bodem 1</w:t>
      </w:r>
      <w:r w:rsidR="00E34493" w:rsidRPr="00E34493">
        <w:rPr>
          <w:sz w:val="22"/>
          <w:szCs w:val="22"/>
        </w:rPr>
        <w:t xml:space="preserve"> nebyla</w:t>
      </w:r>
      <w:r>
        <w:rPr>
          <w:sz w:val="22"/>
          <w:szCs w:val="22"/>
        </w:rPr>
        <w:t xml:space="preserve"> pro nesoulad s WTD</w:t>
      </w:r>
      <w:r w:rsidR="00E34493" w:rsidRPr="00E34493">
        <w:rPr>
          <w:sz w:val="22"/>
          <w:szCs w:val="22"/>
        </w:rPr>
        <w:t xml:space="preserve"> do </w:t>
      </w:r>
      <w:r>
        <w:rPr>
          <w:sz w:val="22"/>
          <w:szCs w:val="22"/>
        </w:rPr>
        <w:t>zákona č. 262/2006 Sb.</w:t>
      </w:r>
      <w:r w:rsidR="00E34493" w:rsidRPr="00E34493">
        <w:rPr>
          <w:sz w:val="22"/>
          <w:szCs w:val="22"/>
        </w:rPr>
        <w:t xml:space="preserve"> převzata původní definice pracovní doby</w:t>
      </w:r>
      <w:r>
        <w:rPr>
          <w:sz w:val="22"/>
          <w:szCs w:val="22"/>
        </w:rPr>
        <w:t>, kterou obsahoval zákona č. 65/1965 Sb.</w:t>
      </w:r>
      <w:r w:rsidR="00BF532C">
        <w:rPr>
          <w:sz w:val="22"/>
          <w:szCs w:val="22"/>
        </w:rPr>
        <w:t xml:space="preserve"> ve svém § 83 odst. 1</w:t>
      </w:r>
      <w:r>
        <w:rPr>
          <w:sz w:val="22"/>
          <w:szCs w:val="22"/>
        </w:rPr>
        <w:t xml:space="preserve"> v následujícím znění:</w:t>
      </w:r>
    </w:p>
    <w:p w14:paraId="6E725497" w14:textId="77777777" w:rsidR="00C5310A" w:rsidRDefault="00C5310A" w:rsidP="008F11CB">
      <w:pPr>
        <w:pStyle w:val="Default"/>
        <w:jc w:val="both"/>
        <w:rPr>
          <w:sz w:val="22"/>
          <w:szCs w:val="22"/>
        </w:rPr>
      </w:pPr>
    </w:p>
    <w:p w14:paraId="08F42D23" w14:textId="6B9ADBAE" w:rsidR="00C5310A" w:rsidRPr="00BF532C" w:rsidRDefault="00BF532C" w:rsidP="008F11CB">
      <w:pPr>
        <w:pStyle w:val="Default"/>
        <w:jc w:val="both"/>
        <w:rPr>
          <w:i/>
          <w:iCs/>
          <w:sz w:val="22"/>
          <w:szCs w:val="22"/>
        </w:rPr>
      </w:pPr>
      <w:r w:rsidRPr="00BF532C">
        <w:rPr>
          <w:i/>
          <w:iCs/>
          <w:sz w:val="22"/>
          <w:szCs w:val="22"/>
        </w:rPr>
        <w:t>„Pracovní doba je doba, v níž je zaměstnanec povinen vykonávat pro zaměstnavatele práci.“</w:t>
      </w:r>
    </w:p>
    <w:p w14:paraId="4BA4DDC5" w14:textId="77777777" w:rsidR="00C5310A" w:rsidRDefault="00C5310A" w:rsidP="008F11CB">
      <w:pPr>
        <w:pStyle w:val="Default"/>
        <w:jc w:val="both"/>
        <w:rPr>
          <w:sz w:val="22"/>
          <w:szCs w:val="22"/>
        </w:rPr>
      </w:pPr>
    </w:p>
    <w:p w14:paraId="6D4A6508" w14:textId="77777777" w:rsidR="00BF532C" w:rsidRDefault="00BF532C" w:rsidP="008F11CB">
      <w:pPr>
        <w:pStyle w:val="Default"/>
        <w:jc w:val="both"/>
        <w:rPr>
          <w:sz w:val="22"/>
          <w:szCs w:val="22"/>
        </w:rPr>
      </w:pPr>
      <w:r>
        <w:rPr>
          <w:sz w:val="22"/>
          <w:szCs w:val="22"/>
        </w:rPr>
        <w:lastRenderedPageBreak/>
        <w:t>A do zákona č. 262/2006 Sb. byla zapracována v jeho § 78 odst. 1 písm. a) následující definice:</w:t>
      </w:r>
    </w:p>
    <w:p w14:paraId="209525A1" w14:textId="77777777" w:rsidR="00BF532C" w:rsidRDefault="00BF532C" w:rsidP="008F11CB">
      <w:pPr>
        <w:pStyle w:val="Default"/>
        <w:jc w:val="both"/>
        <w:rPr>
          <w:sz w:val="22"/>
          <w:szCs w:val="22"/>
        </w:rPr>
      </w:pPr>
    </w:p>
    <w:p w14:paraId="76607C8D" w14:textId="33F57EDF" w:rsidR="00BF532C" w:rsidRPr="00BF532C" w:rsidRDefault="00BF532C" w:rsidP="008F11CB">
      <w:pPr>
        <w:pStyle w:val="Default"/>
        <w:jc w:val="both"/>
        <w:rPr>
          <w:i/>
          <w:iCs/>
          <w:sz w:val="22"/>
          <w:szCs w:val="22"/>
        </w:rPr>
      </w:pPr>
      <w:r w:rsidRPr="00BF532C">
        <w:rPr>
          <w:i/>
          <w:iCs/>
          <w:sz w:val="22"/>
          <w:szCs w:val="22"/>
        </w:rPr>
        <w:t xml:space="preserve">„pracovní dobou doba, v níž je zaměstnanec povinen vykonávat pro zaměstnavatele práci, a doba, v níž je zaměstnanec na pracovišti připraven k výkonu práce podle pokynů zaměstnavatele,“ </w:t>
      </w:r>
    </w:p>
    <w:p w14:paraId="369178F9" w14:textId="77777777" w:rsidR="00BF532C" w:rsidRDefault="00BF532C" w:rsidP="008F11CB">
      <w:pPr>
        <w:pStyle w:val="Default"/>
        <w:jc w:val="both"/>
        <w:rPr>
          <w:sz w:val="22"/>
          <w:szCs w:val="22"/>
        </w:rPr>
      </w:pPr>
    </w:p>
    <w:p w14:paraId="27D93166" w14:textId="77777777" w:rsidR="00BF532C" w:rsidRDefault="00BF532C" w:rsidP="008F11CB">
      <w:pPr>
        <w:pStyle w:val="Default"/>
        <w:jc w:val="both"/>
        <w:rPr>
          <w:sz w:val="22"/>
          <w:szCs w:val="22"/>
        </w:rPr>
      </w:pPr>
    </w:p>
    <w:p w14:paraId="3B83505E" w14:textId="2345FE58" w:rsidR="0064238E" w:rsidRPr="008F11CB" w:rsidRDefault="00E620B8" w:rsidP="008F11CB">
      <w:pPr>
        <w:pStyle w:val="Default"/>
        <w:jc w:val="both"/>
        <w:rPr>
          <w:sz w:val="22"/>
          <w:szCs w:val="22"/>
        </w:rPr>
      </w:pPr>
      <w:r>
        <w:rPr>
          <w:sz w:val="22"/>
          <w:szCs w:val="22"/>
        </w:rPr>
        <w:t>Z výše uvedené</w:t>
      </w:r>
      <w:r w:rsidR="0064238E">
        <w:rPr>
          <w:sz w:val="22"/>
          <w:szCs w:val="22"/>
        </w:rPr>
        <w:t>ho</w:t>
      </w:r>
      <w:r>
        <w:rPr>
          <w:sz w:val="22"/>
          <w:szCs w:val="22"/>
        </w:rPr>
        <w:t xml:space="preserve"> tak jednoznačně vyplývá, že znovuzavedení tzv. pohotovosti na pracovišti, která by nebyla považována za pracovní dobu není pro rozpor s evropským právem možné. </w:t>
      </w:r>
      <w:r w:rsidR="0064238E">
        <w:rPr>
          <w:sz w:val="22"/>
          <w:szCs w:val="22"/>
        </w:rPr>
        <w:t>Lze uvažovat o to, zda by neaktivní část pracovní doby neměla být případně honorována odlišným způsobem, což by však bylo velmi problematické pro jiná odvětví (např. neaktivní část pracovní doby prodavačů) a navíc by nepřineslo řešení problému. Za situace, kdy je nutné dobu, kdy je zaměstnanec připraven na pracovišti připraven k výkonu práce považovat za pracovní dobu, je nutné na tuto dobu uplatnit i ustanovení o stanovené týdenní pracovní době</w:t>
      </w:r>
      <w:r w:rsidR="00F44723">
        <w:rPr>
          <w:sz w:val="22"/>
          <w:szCs w:val="22"/>
        </w:rPr>
        <w:t xml:space="preserve"> (§ 79 ZP), resp. ustanovení o maximálním rozsahu týdenní pracovní doby v čl. 6 WTD (48 hodin včetně přesčasů). </w:t>
      </w:r>
    </w:p>
    <w:sectPr w:rsidR="0064238E" w:rsidRPr="008F11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0BF68" w14:textId="77777777" w:rsidR="00832156" w:rsidRDefault="00832156" w:rsidP="00F90684">
      <w:pPr>
        <w:spacing w:after="0" w:line="240" w:lineRule="auto"/>
      </w:pPr>
      <w:r>
        <w:separator/>
      </w:r>
    </w:p>
  </w:endnote>
  <w:endnote w:type="continuationSeparator" w:id="0">
    <w:p w14:paraId="3548C70A" w14:textId="77777777" w:rsidR="00832156" w:rsidRDefault="00832156" w:rsidP="00F90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D3387" w14:textId="77777777" w:rsidR="00832156" w:rsidRDefault="00832156" w:rsidP="00F90684">
      <w:pPr>
        <w:spacing w:after="0" w:line="240" w:lineRule="auto"/>
      </w:pPr>
      <w:r>
        <w:separator/>
      </w:r>
    </w:p>
  </w:footnote>
  <w:footnote w:type="continuationSeparator" w:id="0">
    <w:p w14:paraId="293220DC" w14:textId="77777777" w:rsidR="00832156" w:rsidRDefault="00832156" w:rsidP="00F906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2335"/>
    <w:multiLevelType w:val="hybridMultilevel"/>
    <w:tmpl w:val="A24E15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83B3274"/>
    <w:multiLevelType w:val="hybridMultilevel"/>
    <w:tmpl w:val="596269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0421EA"/>
    <w:multiLevelType w:val="hybridMultilevel"/>
    <w:tmpl w:val="7422A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D3E007C"/>
    <w:multiLevelType w:val="hybridMultilevel"/>
    <w:tmpl w:val="ABB48F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F477070"/>
    <w:multiLevelType w:val="hybridMultilevel"/>
    <w:tmpl w:val="ABB48FE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DA613DE"/>
    <w:multiLevelType w:val="hybridMultilevel"/>
    <w:tmpl w:val="A93AB6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86D1F1B"/>
    <w:multiLevelType w:val="hybridMultilevel"/>
    <w:tmpl w:val="25E298B2"/>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715F0B43"/>
    <w:multiLevelType w:val="hybridMultilevel"/>
    <w:tmpl w:val="CCAC57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3782863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3239046">
    <w:abstractNumId w:val="6"/>
  </w:num>
  <w:num w:numId="3" w16cid:durableId="968240811">
    <w:abstractNumId w:val="0"/>
  </w:num>
  <w:num w:numId="4" w16cid:durableId="1494177493">
    <w:abstractNumId w:val="7"/>
  </w:num>
  <w:num w:numId="5" w16cid:durableId="591203555">
    <w:abstractNumId w:val="2"/>
  </w:num>
  <w:num w:numId="6" w16cid:durableId="203519802">
    <w:abstractNumId w:val="1"/>
  </w:num>
  <w:num w:numId="7" w16cid:durableId="1590037219">
    <w:abstractNumId w:val="3"/>
  </w:num>
  <w:num w:numId="8" w16cid:durableId="1305161717">
    <w:abstractNumId w:val="4"/>
  </w:num>
  <w:num w:numId="9" w16cid:durableId="1737664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A3C"/>
    <w:rsid w:val="000042E5"/>
    <w:rsid w:val="000172C9"/>
    <w:rsid w:val="00030FDD"/>
    <w:rsid w:val="00037498"/>
    <w:rsid w:val="000709CD"/>
    <w:rsid w:val="000D1130"/>
    <w:rsid w:val="000E741F"/>
    <w:rsid w:val="000F7C7C"/>
    <w:rsid w:val="00107AD6"/>
    <w:rsid w:val="00111D4D"/>
    <w:rsid w:val="00141A58"/>
    <w:rsid w:val="0016245C"/>
    <w:rsid w:val="0018778A"/>
    <w:rsid w:val="00195232"/>
    <w:rsid w:val="001961B0"/>
    <w:rsid w:val="001D1415"/>
    <w:rsid w:val="001E1DA9"/>
    <w:rsid w:val="001F0F72"/>
    <w:rsid w:val="00206945"/>
    <w:rsid w:val="00216821"/>
    <w:rsid w:val="0022219E"/>
    <w:rsid w:val="0023516E"/>
    <w:rsid w:val="0023532A"/>
    <w:rsid w:val="00245CC9"/>
    <w:rsid w:val="0025407A"/>
    <w:rsid w:val="0025629F"/>
    <w:rsid w:val="00291903"/>
    <w:rsid w:val="002D3E1B"/>
    <w:rsid w:val="002D51AA"/>
    <w:rsid w:val="002E353A"/>
    <w:rsid w:val="002E61E4"/>
    <w:rsid w:val="002F4F34"/>
    <w:rsid w:val="00353F91"/>
    <w:rsid w:val="00361762"/>
    <w:rsid w:val="0038547B"/>
    <w:rsid w:val="00393C73"/>
    <w:rsid w:val="003A6C08"/>
    <w:rsid w:val="003A7874"/>
    <w:rsid w:val="003D5999"/>
    <w:rsid w:val="00402544"/>
    <w:rsid w:val="0040446F"/>
    <w:rsid w:val="00406399"/>
    <w:rsid w:val="0045518E"/>
    <w:rsid w:val="00465341"/>
    <w:rsid w:val="00467806"/>
    <w:rsid w:val="004B777D"/>
    <w:rsid w:val="00506162"/>
    <w:rsid w:val="00507E9C"/>
    <w:rsid w:val="005209DA"/>
    <w:rsid w:val="00522E32"/>
    <w:rsid w:val="00540A4E"/>
    <w:rsid w:val="0056414D"/>
    <w:rsid w:val="00566385"/>
    <w:rsid w:val="005727CE"/>
    <w:rsid w:val="005745E7"/>
    <w:rsid w:val="00585D08"/>
    <w:rsid w:val="005A70B0"/>
    <w:rsid w:val="005C52AF"/>
    <w:rsid w:val="005E5104"/>
    <w:rsid w:val="005F2AA4"/>
    <w:rsid w:val="0064238E"/>
    <w:rsid w:val="00656034"/>
    <w:rsid w:val="006C0235"/>
    <w:rsid w:val="006D5DEE"/>
    <w:rsid w:val="006F05E6"/>
    <w:rsid w:val="0070261F"/>
    <w:rsid w:val="007028DD"/>
    <w:rsid w:val="00731EFA"/>
    <w:rsid w:val="00755315"/>
    <w:rsid w:val="007612DD"/>
    <w:rsid w:val="0079198E"/>
    <w:rsid w:val="007D57F0"/>
    <w:rsid w:val="007E683F"/>
    <w:rsid w:val="007F3282"/>
    <w:rsid w:val="0080126E"/>
    <w:rsid w:val="00805933"/>
    <w:rsid w:val="00832156"/>
    <w:rsid w:val="00837EBC"/>
    <w:rsid w:val="00843B4A"/>
    <w:rsid w:val="008A1B75"/>
    <w:rsid w:val="008C339F"/>
    <w:rsid w:val="008E284A"/>
    <w:rsid w:val="008E41FE"/>
    <w:rsid w:val="008F11CB"/>
    <w:rsid w:val="008F235D"/>
    <w:rsid w:val="009160E1"/>
    <w:rsid w:val="00944A4F"/>
    <w:rsid w:val="0095195B"/>
    <w:rsid w:val="009800C3"/>
    <w:rsid w:val="00986914"/>
    <w:rsid w:val="009E4D0A"/>
    <w:rsid w:val="00A00035"/>
    <w:rsid w:val="00A20578"/>
    <w:rsid w:val="00A31E7E"/>
    <w:rsid w:val="00A3381E"/>
    <w:rsid w:val="00A36638"/>
    <w:rsid w:val="00A402D9"/>
    <w:rsid w:val="00A41EE8"/>
    <w:rsid w:val="00A4371D"/>
    <w:rsid w:val="00A50996"/>
    <w:rsid w:val="00A645B0"/>
    <w:rsid w:val="00A858CA"/>
    <w:rsid w:val="00A95CBA"/>
    <w:rsid w:val="00AB7A3C"/>
    <w:rsid w:val="00AD005F"/>
    <w:rsid w:val="00AE1319"/>
    <w:rsid w:val="00AE3B30"/>
    <w:rsid w:val="00AE71AE"/>
    <w:rsid w:val="00AF404E"/>
    <w:rsid w:val="00B02908"/>
    <w:rsid w:val="00B1480F"/>
    <w:rsid w:val="00B419F9"/>
    <w:rsid w:val="00B516D6"/>
    <w:rsid w:val="00BC0038"/>
    <w:rsid w:val="00BC7621"/>
    <w:rsid w:val="00BD6D27"/>
    <w:rsid w:val="00BE5039"/>
    <w:rsid w:val="00BF30C7"/>
    <w:rsid w:val="00BF532C"/>
    <w:rsid w:val="00C102C9"/>
    <w:rsid w:val="00C164A5"/>
    <w:rsid w:val="00C507D7"/>
    <w:rsid w:val="00C5310A"/>
    <w:rsid w:val="00C742E9"/>
    <w:rsid w:val="00C84281"/>
    <w:rsid w:val="00CA1B54"/>
    <w:rsid w:val="00CA5434"/>
    <w:rsid w:val="00CD5DD3"/>
    <w:rsid w:val="00CD694B"/>
    <w:rsid w:val="00CF53C5"/>
    <w:rsid w:val="00D004DB"/>
    <w:rsid w:val="00D24C7D"/>
    <w:rsid w:val="00D320B2"/>
    <w:rsid w:val="00D322E3"/>
    <w:rsid w:val="00D33D23"/>
    <w:rsid w:val="00D34210"/>
    <w:rsid w:val="00D4532A"/>
    <w:rsid w:val="00D45A7C"/>
    <w:rsid w:val="00D47198"/>
    <w:rsid w:val="00D6459C"/>
    <w:rsid w:val="00D71900"/>
    <w:rsid w:val="00DA2D1B"/>
    <w:rsid w:val="00DE3442"/>
    <w:rsid w:val="00DE34B4"/>
    <w:rsid w:val="00DF0228"/>
    <w:rsid w:val="00DF21F4"/>
    <w:rsid w:val="00E15F47"/>
    <w:rsid w:val="00E34493"/>
    <w:rsid w:val="00E620B8"/>
    <w:rsid w:val="00E6509A"/>
    <w:rsid w:val="00E650A5"/>
    <w:rsid w:val="00EA6DF0"/>
    <w:rsid w:val="00ED21C9"/>
    <w:rsid w:val="00EE2010"/>
    <w:rsid w:val="00F01B4C"/>
    <w:rsid w:val="00F06C8D"/>
    <w:rsid w:val="00F42CE3"/>
    <w:rsid w:val="00F446CC"/>
    <w:rsid w:val="00F44723"/>
    <w:rsid w:val="00F475F3"/>
    <w:rsid w:val="00F5069B"/>
    <w:rsid w:val="00F66BE5"/>
    <w:rsid w:val="00F670A8"/>
    <w:rsid w:val="00F80081"/>
    <w:rsid w:val="00F8434A"/>
    <w:rsid w:val="00F90684"/>
    <w:rsid w:val="00FA72F6"/>
    <w:rsid w:val="00FB508B"/>
    <w:rsid w:val="00FB7343"/>
    <w:rsid w:val="00FE2485"/>
    <w:rsid w:val="00FE350A"/>
    <w:rsid w:val="00FE7BA0"/>
    <w:rsid w:val="00FF0A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C5EAB"/>
  <w15:docId w15:val="{E27BA9F9-033E-40BE-A80F-879FA203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DE34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DE34B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E1DA9"/>
    <w:pPr>
      <w:autoSpaceDE w:val="0"/>
      <w:autoSpaceDN w:val="0"/>
      <w:adjustRightInd w:val="0"/>
      <w:spacing w:after="0" w:line="240" w:lineRule="auto"/>
    </w:pPr>
    <w:rPr>
      <w:rFonts w:ascii="Arial" w:hAnsi="Arial" w:cs="Arial"/>
      <w:color w:val="000000"/>
      <w:sz w:val="24"/>
      <w:szCs w:val="24"/>
    </w:rPr>
  </w:style>
  <w:style w:type="paragraph" w:customStyle="1" w:styleId="-wm-msonormal">
    <w:name w:val="-wm-msonormal"/>
    <w:basedOn w:val="Normln"/>
    <w:rsid w:val="008C339F"/>
    <w:pPr>
      <w:spacing w:before="100" w:beforeAutospacing="1" w:after="100" w:afterAutospacing="1" w:line="240" w:lineRule="auto"/>
    </w:pPr>
    <w:rPr>
      <w:rFonts w:ascii="Calibri" w:hAnsi="Calibri" w:cs="Calibri"/>
      <w:lang w:eastAsia="cs-CZ"/>
    </w:rPr>
  </w:style>
  <w:style w:type="paragraph" w:styleId="Odstavecseseznamem">
    <w:name w:val="List Paragraph"/>
    <w:basedOn w:val="Normln"/>
    <w:uiPriority w:val="34"/>
    <w:qFormat/>
    <w:rsid w:val="00837EBC"/>
    <w:pPr>
      <w:spacing w:after="0" w:line="240" w:lineRule="auto"/>
      <w:ind w:left="720"/>
    </w:pPr>
    <w:rPr>
      <w:rFonts w:ascii="Calibri" w:hAnsi="Calibri" w:cs="Calibri"/>
    </w:rPr>
  </w:style>
  <w:style w:type="paragraph" w:styleId="Prosttext">
    <w:name w:val="Plain Text"/>
    <w:basedOn w:val="Normln"/>
    <w:link w:val="ProsttextChar"/>
    <w:uiPriority w:val="99"/>
    <w:semiHidden/>
    <w:unhideWhenUsed/>
    <w:rsid w:val="00837EBC"/>
    <w:pPr>
      <w:spacing w:after="0" w:line="240" w:lineRule="auto"/>
    </w:pPr>
    <w:rPr>
      <w:rFonts w:ascii="Calibri" w:hAnsi="Calibri" w:cs="Calibri"/>
    </w:rPr>
  </w:style>
  <w:style w:type="character" w:customStyle="1" w:styleId="ProsttextChar">
    <w:name w:val="Prostý text Char"/>
    <w:basedOn w:val="Standardnpsmoodstavce"/>
    <w:link w:val="Prosttext"/>
    <w:uiPriority w:val="99"/>
    <w:semiHidden/>
    <w:rsid w:val="00837EBC"/>
    <w:rPr>
      <w:rFonts w:ascii="Calibri" w:hAnsi="Calibri" w:cs="Calibri"/>
    </w:rPr>
  </w:style>
  <w:style w:type="character" w:styleId="Hypertextovodkaz">
    <w:name w:val="Hyperlink"/>
    <w:basedOn w:val="Standardnpsmoodstavce"/>
    <w:uiPriority w:val="99"/>
    <w:semiHidden/>
    <w:unhideWhenUsed/>
    <w:rsid w:val="00361762"/>
    <w:rPr>
      <w:color w:val="0000FF"/>
      <w:u w:val="single"/>
    </w:rPr>
  </w:style>
  <w:style w:type="paragraph" w:customStyle="1" w:styleId="toccitationtitle">
    <w:name w:val="toc_citation_title"/>
    <w:basedOn w:val="Normln"/>
    <w:rsid w:val="0036176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DE34B4"/>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DE34B4"/>
    <w:rPr>
      <w:rFonts w:ascii="Times New Roman" w:eastAsia="Times New Roman" w:hAnsi="Times New Roman" w:cs="Times New Roman"/>
      <w:b/>
      <w:bCs/>
      <w:sz w:val="36"/>
      <w:szCs w:val="36"/>
      <w:lang w:eastAsia="cs-CZ"/>
    </w:rPr>
  </w:style>
  <w:style w:type="paragraph" w:customStyle="1" w:styleId="p2">
    <w:name w:val="p2"/>
    <w:basedOn w:val="Normln"/>
    <w:rsid w:val="00DE34B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highlight">
    <w:name w:val="highlight"/>
    <w:basedOn w:val="Standardnpsmoodstavce"/>
    <w:rsid w:val="00DE34B4"/>
  </w:style>
  <w:style w:type="character" w:customStyle="1" w:styleId="footnote">
    <w:name w:val="footnote"/>
    <w:basedOn w:val="Standardnpsmoodstavce"/>
    <w:rsid w:val="00DE34B4"/>
  </w:style>
  <w:style w:type="character" w:customStyle="1" w:styleId="s24">
    <w:name w:val="s24"/>
    <w:basedOn w:val="Standardnpsmoodstavce"/>
    <w:rsid w:val="0016245C"/>
  </w:style>
  <w:style w:type="character" w:customStyle="1" w:styleId="s30">
    <w:name w:val="s30"/>
    <w:basedOn w:val="Standardnpsmoodstavce"/>
    <w:rsid w:val="00162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35700">
      <w:bodyDiv w:val="1"/>
      <w:marLeft w:val="0"/>
      <w:marRight w:val="0"/>
      <w:marTop w:val="0"/>
      <w:marBottom w:val="0"/>
      <w:divBdr>
        <w:top w:val="none" w:sz="0" w:space="0" w:color="auto"/>
        <w:left w:val="none" w:sz="0" w:space="0" w:color="auto"/>
        <w:bottom w:val="none" w:sz="0" w:space="0" w:color="auto"/>
        <w:right w:val="none" w:sz="0" w:space="0" w:color="auto"/>
      </w:divBdr>
      <w:divsChild>
        <w:div w:id="1640263631">
          <w:marLeft w:val="0"/>
          <w:marRight w:val="0"/>
          <w:marTop w:val="0"/>
          <w:marBottom w:val="100"/>
          <w:divBdr>
            <w:top w:val="none" w:sz="0" w:space="0" w:color="auto"/>
            <w:left w:val="none" w:sz="0" w:space="0" w:color="auto"/>
            <w:bottom w:val="none" w:sz="0" w:space="0" w:color="auto"/>
            <w:right w:val="none" w:sz="0" w:space="0" w:color="auto"/>
          </w:divBdr>
        </w:div>
      </w:divsChild>
    </w:div>
    <w:div w:id="786042851">
      <w:bodyDiv w:val="1"/>
      <w:marLeft w:val="0"/>
      <w:marRight w:val="0"/>
      <w:marTop w:val="0"/>
      <w:marBottom w:val="0"/>
      <w:divBdr>
        <w:top w:val="none" w:sz="0" w:space="0" w:color="auto"/>
        <w:left w:val="none" w:sz="0" w:space="0" w:color="auto"/>
        <w:bottom w:val="none" w:sz="0" w:space="0" w:color="auto"/>
        <w:right w:val="none" w:sz="0" w:space="0" w:color="auto"/>
      </w:divBdr>
    </w:div>
    <w:div w:id="1207448237">
      <w:bodyDiv w:val="1"/>
      <w:marLeft w:val="0"/>
      <w:marRight w:val="0"/>
      <w:marTop w:val="0"/>
      <w:marBottom w:val="0"/>
      <w:divBdr>
        <w:top w:val="none" w:sz="0" w:space="0" w:color="auto"/>
        <w:left w:val="none" w:sz="0" w:space="0" w:color="auto"/>
        <w:bottom w:val="none" w:sz="0" w:space="0" w:color="auto"/>
        <w:right w:val="none" w:sz="0" w:space="0" w:color="auto"/>
      </w:divBdr>
    </w:div>
    <w:div w:id="1665008628">
      <w:bodyDiv w:val="1"/>
      <w:marLeft w:val="0"/>
      <w:marRight w:val="0"/>
      <w:marTop w:val="0"/>
      <w:marBottom w:val="0"/>
      <w:divBdr>
        <w:top w:val="none" w:sz="0" w:space="0" w:color="auto"/>
        <w:left w:val="none" w:sz="0" w:space="0" w:color="auto"/>
        <w:bottom w:val="none" w:sz="0" w:space="0" w:color="auto"/>
        <w:right w:val="none" w:sz="0" w:space="0" w:color="auto"/>
      </w:divBdr>
    </w:div>
    <w:div w:id="1841848438">
      <w:bodyDiv w:val="1"/>
      <w:marLeft w:val="0"/>
      <w:marRight w:val="0"/>
      <w:marTop w:val="0"/>
      <w:marBottom w:val="0"/>
      <w:divBdr>
        <w:top w:val="none" w:sz="0" w:space="0" w:color="auto"/>
        <w:left w:val="none" w:sz="0" w:space="0" w:color="auto"/>
        <w:bottom w:val="none" w:sz="0" w:space="0" w:color="auto"/>
        <w:right w:val="none" w:sz="0" w:space="0" w:color="auto"/>
      </w:divBdr>
    </w:div>
    <w:div w:id="198805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3278</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PMP</dc:creator>
  <cp:lastModifiedBy>Roučková Dana Mgr. (MPSV)</cp:lastModifiedBy>
  <cp:revision>2</cp:revision>
  <cp:lastPrinted>2024-02-29T11:06:00Z</cp:lastPrinted>
  <dcterms:created xsi:type="dcterms:W3CDTF">2024-03-28T14:53:00Z</dcterms:created>
  <dcterms:modified xsi:type="dcterms:W3CDTF">2024-03-28T14:53:00Z</dcterms:modified>
</cp:coreProperties>
</file>